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8" w:lineRule="atLeast"/>
        <w:ind w:left="24" w:firstLine="670" w:firstLineChars="200"/>
        <w:textAlignment w:val="baseline"/>
        <w:rPr>
          <w:rFonts w:hint="eastAsia" w:ascii="黑体" w:hAnsi="黑体" w:eastAsia="黑体"/>
          <w:sz w:val="32"/>
          <w:szCs w:val="32"/>
          <w:lang w:val="zh"/>
        </w:rPr>
      </w:pPr>
      <w:r>
        <w:rPr>
          <w:rFonts w:hint="eastAsia" w:ascii="黑体" w:hAnsi="黑体" w:eastAsia="黑体"/>
          <w:sz w:val="32"/>
          <w:szCs w:val="32"/>
          <w:lang w:val="zh"/>
        </w:rPr>
        <w:t>附件</w:t>
      </w:r>
    </w:p>
    <w:p>
      <w:pPr>
        <w:pStyle w:val="4"/>
        <w:spacing w:line="528" w:lineRule="atLeast"/>
        <w:ind w:left="24"/>
        <w:jc w:val="center"/>
        <w:textAlignment w:val="baseline"/>
        <w:rPr>
          <w:rFonts w:hint="default"/>
          <w:lang w:val="en-US"/>
        </w:rPr>
      </w:pPr>
      <w:r>
        <w:rPr>
          <w:rFonts w:hint="eastAsia" w:ascii="方正小标宋简体" w:hAnsi="方正小标宋简体" w:eastAsia="方正小标宋简体" w:cs="方正小标宋简体"/>
          <w:sz w:val="44"/>
          <w:szCs w:val="44"/>
          <w:lang w:val="zh"/>
        </w:rPr>
        <w:t>东莞市</w:t>
      </w:r>
      <w:r>
        <w:rPr>
          <w:rFonts w:hint="eastAsia" w:ascii="方正小标宋简体" w:hAnsi="方正小标宋简体" w:eastAsia="方正小标宋简体" w:cs="方正小标宋简体"/>
          <w:sz w:val="44"/>
          <w:szCs w:val="44"/>
          <w:lang w:val="en-US" w:eastAsia="zh-CN"/>
        </w:rPr>
        <w:t>生态环境局</w:t>
      </w:r>
      <w:r>
        <w:rPr>
          <w:rFonts w:hint="eastAsia" w:ascii="方正小标宋简体" w:hAnsi="方正小标宋简体" w:eastAsia="方正小标宋简体" w:cs="方正小标宋简体"/>
          <w:sz w:val="44"/>
          <w:szCs w:val="44"/>
          <w:lang w:val="zh"/>
        </w:rPr>
        <w:t>20</w:t>
      </w:r>
      <w:r>
        <w:rPr>
          <w:rFonts w:hint="eastAsia" w:ascii="方正小标宋简体" w:hAnsi="方正小标宋简体" w:eastAsia="方正小标宋简体" w:cs="方正小标宋简体"/>
          <w:sz w:val="44"/>
          <w:szCs w:val="44"/>
          <w:lang w:val="en-US" w:eastAsia="zh-CN"/>
        </w:rPr>
        <w:t>2</w:t>
      </w:r>
      <w:r>
        <w:rPr>
          <w:rFonts w:hint="default"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val="zh"/>
        </w:rPr>
        <w:t>年度行政许可实施和监督管理情况表</w:t>
      </w:r>
    </w:p>
    <w:tbl>
      <w:tblPr>
        <w:tblStyle w:val="2"/>
        <w:tblpPr w:leftFromText="180" w:rightFromText="180" w:vertAnchor="text" w:horzAnchor="page" w:tblpX="313" w:tblpY="371"/>
        <w:tblOverlap w:val="never"/>
        <w:tblW w:w="16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4"/>
        <w:gridCol w:w="1428"/>
        <w:gridCol w:w="1168"/>
        <w:gridCol w:w="448"/>
        <w:gridCol w:w="490"/>
        <w:gridCol w:w="433"/>
        <w:gridCol w:w="435"/>
        <w:gridCol w:w="632"/>
        <w:gridCol w:w="562"/>
        <w:gridCol w:w="448"/>
        <w:gridCol w:w="554"/>
        <w:gridCol w:w="447"/>
        <w:gridCol w:w="481"/>
        <w:gridCol w:w="283"/>
        <w:gridCol w:w="398"/>
        <w:gridCol w:w="1125"/>
        <w:gridCol w:w="1168"/>
        <w:gridCol w:w="548"/>
        <w:gridCol w:w="548"/>
        <w:gridCol w:w="592"/>
        <w:gridCol w:w="533"/>
        <w:gridCol w:w="534"/>
        <w:gridCol w:w="490"/>
        <w:gridCol w:w="476"/>
        <w:gridCol w:w="606"/>
        <w:gridCol w:w="539"/>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334" w:type="dxa"/>
            <w:vMerge w:val="restart"/>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序号</w:t>
            </w:r>
          </w:p>
        </w:tc>
        <w:tc>
          <w:tcPr>
            <w:tcW w:w="2596" w:type="dxa"/>
            <w:gridSpan w:val="2"/>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审批事项</w:t>
            </w:r>
          </w:p>
        </w:tc>
        <w:tc>
          <w:tcPr>
            <w:tcW w:w="448" w:type="dxa"/>
            <w:vMerge w:val="restart"/>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是否进驻</w:t>
            </w:r>
            <w:r>
              <w:rPr>
                <w:rFonts w:hint="eastAsia" w:ascii="Times New Roman" w:hAnsi="Times New Roman" w:eastAsia="宋体"/>
                <w:spacing w:val="-6"/>
                <w:sz w:val="18"/>
                <w:szCs w:val="18"/>
              </w:rPr>
              <w:t>一体化</w:t>
            </w:r>
            <w:r>
              <w:rPr>
                <w:rFonts w:ascii="Times New Roman" w:hAnsi="Times New Roman" w:eastAsia="宋体"/>
                <w:spacing w:val="-6"/>
                <w:sz w:val="18"/>
                <w:szCs w:val="18"/>
              </w:rPr>
              <w:t>政务服务</w:t>
            </w:r>
            <w:r>
              <w:rPr>
                <w:rFonts w:hint="eastAsia" w:ascii="Times New Roman" w:hAnsi="Times New Roman" w:eastAsia="宋体"/>
                <w:spacing w:val="-6"/>
                <w:sz w:val="18"/>
                <w:szCs w:val="18"/>
              </w:rPr>
              <w:t>平台</w:t>
            </w:r>
          </w:p>
        </w:tc>
        <w:tc>
          <w:tcPr>
            <w:tcW w:w="490" w:type="dxa"/>
            <w:vMerge w:val="restart"/>
            <w:noWrap w:val="0"/>
            <w:vAlign w:val="top"/>
          </w:tcPr>
          <w:p>
            <w:pPr>
              <w:spacing w:line="240" w:lineRule="exact"/>
              <w:jc w:val="center"/>
              <w:rPr>
                <w:rFonts w:hint="eastAsia" w:ascii="Times New Roman" w:hAnsi="Times New Roman" w:eastAsia="宋体"/>
                <w:spacing w:val="-6"/>
                <w:sz w:val="18"/>
                <w:szCs w:val="18"/>
              </w:rPr>
            </w:pPr>
          </w:p>
          <w:p>
            <w:pPr>
              <w:spacing w:line="240" w:lineRule="exact"/>
              <w:jc w:val="center"/>
              <w:rPr>
                <w:rFonts w:ascii="Times New Roman" w:hAnsi="Times New Roman" w:eastAsia="宋体"/>
                <w:spacing w:val="-6"/>
                <w:sz w:val="18"/>
                <w:szCs w:val="18"/>
              </w:rPr>
            </w:pPr>
            <w:r>
              <w:rPr>
                <w:rFonts w:hint="eastAsia" w:ascii="Times New Roman" w:hAnsi="Times New Roman" w:eastAsia="宋体"/>
                <w:spacing w:val="-6"/>
                <w:sz w:val="18"/>
                <w:szCs w:val="18"/>
              </w:rPr>
              <w:t>是否全流程使用一体化政务服务平台</w:t>
            </w:r>
          </w:p>
        </w:tc>
        <w:tc>
          <w:tcPr>
            <w:tcW w:w="433" w:type="dxa"/>
            <w:vMerge w:val="restart"/>
            <w:noWrap w:val="0"/>
            <w:vAlign w:val="top"/>
          </w:tcPr>
          <w:p>
            <w:pPr>
              <w:spacing w:line="240" w:lineRule="exact"/>
              <w:jc w:val="center"/>
              <w:rPr>
                <w:rFonts w:hint="eastAsia" w:ascii="Times New Roman" w:hAnsi="Times New Roman" w:eastAsia="宋体"/>
                <w:spacing w:val="-6"/>
                <w:sz w:val="18"/>
                <w:szCs w:val="18"/>
              </w:rPr>
            </w:pPr>
          </w:p>
          <w:p>
            <w:pPr>
              <w:spacing w:line="240" w:lineRule="exact"/>
              <w:jc w:val="center"/>
              <w:rPr>
                <w:rFonts w:hint="eastAsia" w:ascii="Times New Roman" w:hAnsi="Times New Roman" w:eastAsia="宋体"/>
                <w:spacing w:val="-6"/>
                <w:sz w:val="18"/>
                <w:szCs w:val="18"/>
              </w:rPr>
            </w:pPr>
          </w:p>
          <w:p>
            <w:pPr>
              <w:spacing w:line="240" w:lineRule="exact"/>
              <w:jc w:val="center"/>
              <w:rPr>
                <w:rFonts w:ascii="Times New Roman" w:hAnsi="Times New Roman" w:eastAsia="宋体"/>
                <w:spacing w:val="-6"/>
                <w:sz w:val="18"/>
                <w:szCs w:val="18"/>
              </w:rPr>
            </w:pPr>
            <w:r>
              <w:rPr>
                <w:rFonts w:hint="eastAsia" w:ascii="Times New Roman" w:hAnsi="Times New Roman" w:eastAsia="宋体"/>
                <w:spacing w:val="-6"/>
                <w:sz w:val="18"/>
                <w:szCs w:val="18"/>
              </w:rPr>
              <w:t>是否委托下放</w:t>
            </w:r>
          </w:p>
        </w:tc>
        <w:tc>
          <w:tcPr>
            <w:tcW w:w="435" w:type="dxa"/>
            <w:vMerge w:val="restart"/>
            <w:noWrap w:val="0"/>
            <w:vAlign w:val="top"/>
          </w:tcPr>
          <w:p>
            <w:pPr>
              <w:spacing w:line="240" w:lineRule="exact"/>
              <w:jc w:val="center"/>
              <w:rPr>
                <w:rFonts w:hint="eastAsia" w:ascii="Times New Roman" w:hAnsi="Times New Roman" w:eastAsia="宋体"/>
                <w:spacing w:val="-6"/>
                <w:sz w:val="18"/>
                <w:szCs w:val="18"/>
              </w:rPr>
            </w:pPr>
          </w:p>
          <w:p>
            <w:pPr>
              <w:spacing w:line="240" w:lineRule="exact"/>
              <w:jc w:val="center"/>
              <w:rPr>
                <w:rFonts w:hint="eastAsia" w:ascii="Times New Roman" w:hAnsi="Times New Roman" w:eastAsia="宋体"/>
                <w:spacing w:val="-6"/>
                <w:sz w:val="18"/>
                <w:szCs w:val="18"/>
              </w:rPr>
            </w:pPr>
          </w:p>
          <w:p>
            <w:pPr>
              <w:spacing w:line="240" w:lineRule="exact"/>
              <w:jc w:val="center"/>
              <w:rPr>
                <w:rFonts w:ascii="Times New Roman" w:hAnsi="Times New Roman" w:eastAsia="宋体"/>
                <w:spacing w:val="-6"/>
                <w:sz w:val="18"/>
                <w:szCs w:val="18"/>
              </w:rPr>
            </w:pPr>
            <w:r>
              <w:rPr>
                <w:rFonts w:hint="eastAsia" w:ascii="Times New Roman" w:hAnsi="Times New Roman" w:eastAsia="宋体"/>
                <w:spacing w:val="-6"/>
                <w:sz w:val="18"/>
                <w:szCs w:val="18"/>
              </w:rPr>
              <w:t>是否纳入综合窗口办理</w:t>
            </w:r>
          </w:p>
        </w:tc>
        <w:tc>
          <w:tcPr>
            <w:tcW w:w="3407" w:type="dxa"/>
            <w:gridSpan w:val="7"/>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全年业务量（件）</w:t>
            </w:r>
          </w:p>
        </w:tc>
        <w:tc>
          <w:tcPr>
            <w:tcW w:w="3787" w:type="dxa"/>
            <w:gridSpan w:val="5"/>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实施过程</w:t>
            </w:r>
          </w:p>
        </w:tc>
        <w:tc>
          <w:tcPr>
            <w:tcW w:w="3770" w:type="dxa"/>
            <w:gridSpan w:val="7"/>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监督管理</w:t>
            </w:r>
          </w:p>
        </w:tc>
        <w:tc>
          <w:tcPr>
            <w:tcW w:w="500"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5" w:hRule="atLeast"/>
        </w:trPr>
        <w:tc>
          <w:tcPr>
            <w:tcW w:w="334" w:type="dxa"/>
            <w:vMerge w:val="continue"/>
            <w:noWrap w:val="0"/>
            <w:vAlign w:val="center"/>
          </w:tcPr>
          <w:p>
            <w:pPr>
              <w:spacing w:line="240" w:lineRule="exact"/>
              <w:jc w:val="center"/>
              <w:rPr>
                <w:rFonts w:ascii="Times New Roman" w:hAnsi="Times New Roman" w:eastAsia="宋体"/>
                <w:spacing w:val="-6"/>
                <w:sz w:val="16"/>
                <w:szCs w:val="16"/>
              </w:rPr>
            </w:pPr>
          </w:p>
        </w:tc>
        <w:tc>
          <w:tcPr>
            <w:tcW w:w="1428" w:type="dxa"/>
            <w:noWrap w:val="0"/>
            <w:vAlign w:val="center"/>
          </w:tcPr>
          <w:p>
            <w:pPr>
              <w:spacing w:line="240" w:lineRule="exact"/>
              <w:jc w:val="center"/>
              <w:rPr>
                <w:rFonts w:ascii="Times New Roman" w:hAnsi="Times New Roman" w:eastAsia="宋体"/>
                <w:spacing w:val="-6"/>
                <w:sz w:val="18"/>
                <w:szCs w:val="18"/>
              </w:rPr>
            </w:pPr>
            <w:r>
              <w:rPr>
                <w:rFonts w:hint="eastAsia" w:ascii="Times New Roman" w:hAnsi="Times New Roman" w:eastAsia="宋体"/>
                <w:spacing w:val="-6"/>
                <w:sz w:val="18"/>
                <w:szCs w:val="18"/>
              </w:rPr>
              <w:t>实施清单</w:t>
            </w:r>
          </w:p>
        </w:tc>
        <w:tc>
          <w:tcPr>
            <w:tcW w:w="1168" w:type="dxa"/>
            <w:noWrap w:val="0"/>
            <w:vAlign w:val="center"/>
          </w:tcPr>
          <w:p>
            <w:pPr>
              <w:spacing w:line="240" w:lineRule="exact"/>
              <w:jc w:val="center"/>
              <w:rPr>
                <w:rFonts w:ascii="Times New Roman" w:hAnsi="Times New Roman" w:eastAsia="宋体"/>
                <w:spacing w:val="-6"/>
                <w:sz w:val="18"/>
                <w:szCs w:val="18"/>
              </w:rPr>
            </w:pPr>
            <w:r>
              <w:rPr>
                <w:rFonts w:hint="eastAsia" w:ascii="Times New Roman" w:hAnsi="Times New Roman" w:eastAsia="宋体"/>
                <w:spacing w:val="-6"/>
                <w:sz w:val="18"/>
                <w:szCs w:val="18"/>
              </w:rPr>
              <w:t>实施编码</w:t>
            </w:r>
          </w:p>
        </w:tc>
        <w:tc>
          <w:tcPr>
            <w:tcW w:w="448" w:type="dxa"/>
            <w:vMerge w:val="continue"/>
            <w:noWrap w:val="0"/>
            <w:vAlign w:val="center"/>
          </w:tcPr>
          <w:p>
            <w:pPr>
              <w:spacing w:line="240" w:lineRule="exact"/>
              <w:jc w:val="center"/>
              <w:rPr>
                <w:rFonts w:ascii="Times New Roman" w:hAnsi="Times New Roman" w:eastAsia="宋体"/>
                <w:spacing w:val="-6"/>
                <w:sz w:val="18"/>
                <w:szCs w:val="18"/>
              </w:rPr>
            </w:pPr>
          </w:p>
        </w:tc>
        <w:tc>
          <w:tcPr>
            <w:tcW w:w="490" w:type="dxa"/>
            <w:vMerge w:val="continue"/>
            <w:noWrap w:val="0"/>
            <w:vAlign w:val="top"/>
          </w:tcPr>
          <w:p>
            <w:pPr>
              <w:spacing w:line="240" w:lineRule="exact"/>
              <w:jc w:val="center"/>
              <w:rPr>
                <w:rFonts w:ascii="Times New Roman" w:hAnsi="Times New Roman" w:eastAsia="宋体"/>
                <w:spacing w:val="-6"/>
                <w:sz w:val="18"/>
                <w:szCs w:val="18"/>
              </w:rPr>
            </w:pPr>
          </w:p>
        </w:tc>
        <w:tc>
          <w:tcPr>
            <w:tcW w:w="433" w:type="dxa"/>
            <w:vMerge w:val="continue"/>
            <w:noWrap w:val="0"/>
            <w:vAlign w:val="top"/>
          </w:tcPr>
          <w:p>
            <w:pPr>
              <w:spacing w:line="240" w:lineRule="exact"/>
              <w:jc w:val="center"/>
              <w:rPr>
                <w:rFonts w:ascii="Times New Roman" w:hAnsi="Times New Roman" w:eastAsia="宋体"/>
                <w:spacing w:val="-6"/>
                <w:sz w:val="18"/>
                <w:szCs w:val="18"/>
              </w:rPr>
            </w:pPr>
          </w:p>
        </w:tc>
        <w:tc>
          <w:tcPr>
            <w:tcW w:w="435" w:type="dxa"/>
            <w:vMerge w:val="continue"/>
            <w:noWrap w:val="0"/>
            <w:vAlign w:val="top"/>
          </w:tcPr>
          <w:p>
            <w:pPr>
              <w:spacing w:line="240" w:lineRule="exact"/>
              <w:jc w:val="center"/>
              <w:rPr>
                <w:rFonts w:ascii="Times New Roman" w:hAnsi="Times New Roman" w:eastAsia="宋体"/>
                <w:spacing w:val="-6"/>
                <w:sz w:val="18"/>
                <w:szCs w:val="18"/>
              </w:rPr>
            </w:pPr>
          </w:p>
        </w:tc>
        <w:tc>
          <w:tcPr>
            <w:tcW w:w="632"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申请量</w:t>
            </w:r>
          </w:p>
        </w:tc>
        <w:tc>
          <w:tcPr>
            <w:tcW w:w="562"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受理量</w:t>
            </w:r>
          </w:p>
        </w:tc>
        <w:tc>
          <w:tcPr>
            <w:tcW w:w="448"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不受理量</w:t>
            </w:r>
          </w:p>
        </w:tc>
        <w:tc>
          <w:tcPr>
            <w:tcW w:w="554"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办结量</w:t>
            </w:r>
          </w:p>
        </w:tc>
        <w:tc>
          <w:tcPr>
            <w:tcW w:w="447"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审批同意量</w:t>
            </w:r>
          </w:p>
        </w:tc>
        <w:tc>
          <w:tcPr>
            <w:tcW w:w="481"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审批不同意量</w:t>
            </w:r>
          </w:p>
        </w:tc>
        <w:tc>
          <w:tcPr>
            <w:tcW w:w="283"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转报办结量</w:t>
            </w:r>
          </w:p>
        </w:tc>
        <w:tc>
          <w:tcPr>
            <w:tcW w:w="398"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法定办结期限</w:t>
            </w:r>
          </w:p>
        </w:tc>
        <w:tc>
          <w:tcPr>
            <w:tcW w:w="1125"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承诺办结期限</w:t>
            </w:r>
          </w:p>
        </w:tc>
        <w:tc>
          <w:tcPr>
            <w:tcW w:w="1168"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实际平均办结时间</w:t>
            </w:r>
          </w:p>
        </w:tc>
        <w:tc>
          <w:tcPr>
            <w:tcW w:w="548"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是否公开许可实施和结果等要素</w:t>
            </w:r>
          </w:p>
        </w:tc>
        <w:tc>
          <w:tcPr>
            <w:tcW w:w="548"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是否</w:t>
            </w:r>
            <w:r>
              <w:rPr>
                <w:rFonts w:hint="eastAsia" w:ascii="Times New Roman" w:hAnsi="Times New Roman" w:eastAsia="宋体"/>
                <w:spacing w:val="-6"/>
                <w:sz w:val="18"/>
                <w:szCs w:val="18"/>
              </w:rPr>
              <w:t>公开</w:t>
            </w:r>
            <w:r>
              <w:rPr>
                <w:rFonts w:ascii="Times New Roman" w:hAnsi="Times New Roman" w:eastAsia="宋体"/>
                <w:spacing w:val="-6"/>
                <w:sz w:val="18"/>
                <w:szCs w:val="18"/>
              </w:rPr>
              <w:t>办事指南</w:t>
            </w:r>
          </w:p>
        </w:tc>
        <w:tc>
          <w:tcPr>
            <w:tcW w:w="592"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是否制定监管制度、标准</w:t>
            </w:r>
          </w:p>
        </w:tc>
        <w:tc>
          <w:tcPr>
            <w:tcW w:w="533"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监管制度是否有效实施</w:t>
            </w:r>
          </w:p>
        </w:tc>
        <w:tc>
          <w:tcPr>
            <w:tcW w:w="534"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监管覆盖率</w:t>
            </w:r>
          </w:p>
        </w:tc>
        <w:tc>
          <w:tcPr>
            <w:tcW w:w="490"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举报投诉件数</w:t>
            </w:r>
          </w:p>
        </w:tc>
        <w:tc>
          <w:tcPr>
            <w:tcW w:w="476"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24小时内给予反馈的数量</w:t>
            </w:r>
          </w:p>
        </w:tc>
        <w:tc>
          <w:tcPr>
            <w:tcW w:w="606"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调查处理并办结量</w:t>
            </w:r>
          </w:p>
        </w:tc>
        <w:tc>
          <w:tcPr>
            <w:tcW w:w="539" w:type="dxa"/>
            <w:noWrap w:val="0"/>
            <w:vAlign w:val="center"/>
          </w:tcPr>
          <w:p>
            <w:pPr>
              <w:spacing w:line="240" w:lineRule="exact"/>
              <w:jc w:val="center"/>
              <w:rPr>
                <w:rFonts w:ascii="Times New Roman" w:hAnsi="Times New Roman" w:eastAsia="宋体"/>
                <w:spacing w:val="-6"/>
                <w:sz w:val="18"/>
                <w:szCs w:val="18"/>
              </w:rPr>
            </w:pPr>
            <w:r>
              <w:rPr>
                <w:rFonts w:ascii="Times New Roman" w:hAnsi="Times New Roman" w:eastAsia="宋体"/>
                <w:spacing w:val="-6"/>
                <w:sz w:val="18"/>
                <w:szCs w:val="18"/>
              </w:rPr>
              <w:t>查处违法违规案件数量</w:t>
            </w:r>
          </w:p>
        </w:tc>
        <w:tc>
          <w:tcPr>
            <w:tcW w:w="500" w:type="dxa"/>
            <w:noWrap w:val="0"/>
            <w:vAlign w:val="center"/>
          </w:tcPr>
          <w:p>
            <w:pPr>
              <w:spacing w:line="240" w:lineRule="exact"/>
              <w:jc w:val="center"/>
              <w:rPr>
                <w:rFonts w:ascii="Times New Roman" w:hAnsi="Times New Roman" w:eastAsia="宋体"/>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防治污染设施拆除或闲置审批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11441900MB2C90178X3440113017000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个工作日（不含现场核查时间</w:t>
            </w:r>
            <w:r>
              <w:rPr>
                <w:rStyle w:val="6"/>
                <w:rFonts w:eastAsia="宋体"/>
                <w:lang w:val="en-US" w:eastAsia="zh-CN" w:bidi="ar"/>
              </w:rPr>
              <w:t>4</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个工作日（不含现场核查时间</w:t>
            </w:r>
            <w:r>
              <w:rPr>
                <w:rStyle w:val="6"/>
                <w:rFonts w:eastAsia="宋体"/>
                <w:lang w:val="en-US" w:eastAsia="zh-CN" w:bidi="ar"/>
              </w:rPr>
              <w:t>4</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停止污染物集中处置设施运转核准（废水）</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11441900MB2C90178X3440113014002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个工作日（不含现场核查时间</w:t>
            </w:r>
            <w:r>
              <w:rPr>
                <w:rStyle w:val="6"/>
                <w:rFonts w:eastAsia="宋体"/>
                <w:lang w:val="en-US" w:eastAsia="zh-CN" w:bidi="ar"/>
              </w:rPr>
              <w:t>4</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个工作日（不含现场核查时间</w:t>
            </w:r>
            <w:r>
              <w:rPr>
                <w:rStyle w:val="6"/>
                <w:rFonts w:eastAsia="宋体"/>
                <w:lang w:val="en-US" w:eastAsia="zh-CN" w:bidi="ar"/>
              </w:rPr>
              <w:t>4</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停止污染物集中处置设施运转核准（固体废物）</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11441900MB2C90178X3440113014001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个工作日（不含现场核查时间</w:t>
            </w:r>
            <w:r>
              <w:rPr>
                <w:rStyle w:val="6"/>
                <w:rFonts w:eastAsia="宋体"/>
                <w:lang w:val="en-US" w:eastAsia="zh-CN" w:bidi="ar"/>
              </w:rPr>
              <w:t>4</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个工作日（不含现场核查时间</w:t>
            </w:r>
            <w:r>
              <w:rPr>
                <w:rStyle w:val="6"/>
                <w:rFonts w:eastAsia="宋体"/>
                <w:lang w:val="en-US" w:eastAsia="zh-CN" w:bidi="ar"/>
              </w:rPr>
              <w:t>4</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辐射安全许可证核发（重新申请）</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11441900MB2C90178X3440113007004</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辐射安全许可证核发（变更）</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11441900MB2C90178X3440113007002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32</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3</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keepNext w:val="0"/>
              <w:keepLines w:val="0"/>
              <w:widowControl/>
              <w:suppressLineNumbers w:val="0"/>
              <w:jc w:val="left"/>
              <w:textAlignment w:val="center"/>
              <w:rPr>
                <w:rFonts w:ascii="Times New Roman" w:hAnsi="Times New Roman" w:eastAsia="宋体"/>
                <w:sz w:val="18"/>
                <w:szCs w:val="18"/>
              </w:rPr>
            </w:pPr>
            <w:r>
              <w:rPr>
                <w:rFonts w:hint="eastAsia" w:ascii="宋体" w:hAnsi="宋体" w:eastAsia="宋体" w:cs="宋体"/>
                <w:i w:val="0"/>
                <w:iCs w:val="0"/>
                <w:color w:val="000000"/>
                <w:kern w:val="0"/>
                <w:sz w:val="22"/>
                <w:szCs w:val="22"/>
                <w:u w:val="none"/>
                <w:lang w:val="en-US" w:eastAsia="zh-CN" w:bidi="ar"/>
              </w:rPr>
              <w:t>1件企业主动退件。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辐射安全许可证核发（延续）</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11441900MB2C90178X3440113007003</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辐射安全许可证核发（新申请）</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11441900MB2C90178X3440113007001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66</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34</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keepNext w:val="0"/>
              <w:keepLines w:val="0"/>
              <w:widowControl/>
              <w:suppressLineNumbers w:val="0"/>
              <w:jc w:val="left"/>
              <w:textAlignment w:val="center"/>
              <w:rPr>
                <w:rFonts w:ascii="Times New Roman" w:hAnsi="Times New Roman" w:eastAsia="宋体"/>
                <w:sz w:val="18"/>
                <w:szCs w:val="18"/>
              </w:rPr>
            </w:pPr>
            <w:r>
              <w:rPr>
                <w:rFonts w:hint="eastAsia" w:ascii="宋体" w:hAnsi="宋体" w:eastAsia="宋体" w:cs="宋体"/>
                <w:i w:val="0"/>
                <w:iCs w:val="0"/>
                <w:color w:val="000000"/>
                <w:kern w:val="0"/>
                <w:sz w:val="22"/>
                <w:szCs w:val="22"/>
                <w:u w:val="none"/>
                <w:lang w:val="en-US" w:eastAsia="zh-CN" w:bidi="ar"/>
              </w:rPr>
              <w:t>1件企业主动退件。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辐射安全许可证核发（注销）</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11441900MB2C90178X3440113007005</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eastAsia"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海洋工程建设项目的环境保护设施验收</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11441900MB2C90178X3440113026000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否</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个工作日（不含现场检查及公示期</w:t>
            </w:r>
            <w:r>
              <w:rPr>
                <w:rStyle w:val="6"/>
                <w:rFonts w:eastAsia="宋体"/>
                <w:lang w:val="en-US" w:eastAsia="zh-CN" w:bidi="ar"/>
              </w:rPr>
              <w:t>6</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个工作日（不含现场检查及公示期</w:t>
            </w:r>
            <w:r>
              <w:rPr>
                <w:rStyle w:val="6"/>
                <w:rFonts w:eastAsia="宋体"/>
                <w:lang w:val="en-US" w:eastAsia="zh-CN" w:bidi="ar"/>
              </w:rPr>
              <w:t>6</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海洋工程建设项目海洋环境影响报告书审批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11441900MB2C90178X3440113106004</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60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个工作日（不含公示、现场检查、技术审查</w:t>
            </w:r>
            <w:r>
              <w:rPr>
                <w:rStyle w:val="6"/>
                <w:rFonts w:eastAsia="宋体"/>
                <w:lang w:val="en-US" w:eastAsia="zh-CN" w:bidi="ar"/>
              </w:rPr>
              <w:t>24</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个工作日（不含公示、现场检查、技术审查</w:t>
            </w:r>
            <w:r>
              <w:rPr>
                <w:rStyle w:val="6"/>
                <w:rFonts w:eastAsia="宋体"/>
                <w:lang w:val="en-US" w:eastAsia="zh-CN" w:bidi="ar"/>
              </w:rPr>
              <w:t>24</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海洋工程建设项目海洋环境影响报告表审批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11441900MB2C90178X3440113106003</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个工作日（不含公示、现场检查、技术审查</w:t>
            </w:r>
            <w:r>
              <w:rPr>
                <w:rStyle w:val="6"/>
                <w:rFonts w:eastAsia="宋体"/>
                <w:lang w:val="en-US" w:eastAsia="zh-CN" w:bidi="ar"/>
              </w:rPr>
              <w:t>14</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个工作日（不含公示、现场检查、技术审查</w:t>
            </w:r>
            <w:r>
              <w:rPr>
                <w:rStyle w:val="6"/>
                <w:rFonts w:eastAsia="宋体"/>
                <w:lang w:val="en-US" w:eastAsia="zh-CN" w:bidi="ar"/>
              </w:rPr>
              <w:t>14</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必需经水路运输医疗废物审批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11441900MB2C90178X3440113015000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否</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废弃电器电子产品处理企业资格审批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11441900MB2C90178X3440113016000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否</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60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个工作日（不含技术审查、现场检查、征求意见、公示、出具批复意见和制证等流程）</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个工作日（不含技术审查、现场检查、征求意见、公示、出具批复意见和制证等流程）</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医疗废物经营许可证核发</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11441900MB2C90178X3440113005000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否</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个工作日（不含技术审查、现场检查、征求意见、公示、出具批复意见和制证等流程）</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个工作日（不含技术审查、现场检查、征求意见、公示、出具批复意见和制证等流程）</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危险废物收集经营许可证核发</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11441900MB2C90178X3440113004000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否</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31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17</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14</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17</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17</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个工作日（不含技术审查、现场检查、征求意见、公示、出具批复意见和制证等流程）</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个工作日（不含技术审查、现场检查、征求意见、公示、出具批复意见和制证等流程）</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排污许可证核发（补办）</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11441900MB2C90178X3440113011001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3</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3</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3</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3</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建设项目环境影响报告表审批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11441900MB2C90178X344011310600201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14135</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13429</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706</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13429</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2493</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10936</w:t>
            </w:r>
          </w:p>
        </w:tc>
        <w:tc>
          <w:tcPr>
            <w:tcW w:w="283"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2"/>
                <w:szCs w:val="22"/>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Style w:val="7"/>
                <w:rFonts w:eastAsia="宋体"/>
                <w:color w:val="auto"/>
                <w:lang w:val="en-US" w:eastAsia="zh-CN" w:bidi="ar"/>
              </w:rPr>
              <w:t>30</w:t>
            </w:r>
            <w:r>
              <w:rPr>
                <w:rFonts w:hint="eastAsia" w:ascii="宋体" w:hAnsi="宋体" w:eastAsia="宋体" w:cs="宋体"/>
                <w:i w:val="0"/>
                <w:iCs w:val="0"/>
                <w:color w:val="auto"/>
                <w:kern w:val="0"/>
                <w:sz w:val="20"/>
                <w:szCs w:val="20"/>
                <w:u w:val="none"/>
                <w:lang w:val="en-US" w:eastAsia="zh-CN" w:bidi="ar"/>
              </w:rPr>
              <w:t>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1</w:t>
            </w:r>
            <w:r>
              <w:rPr>
                <w:rStyle w:val="8"/>
                <w:color w:val="auto"/>
                <w:lang w:val="en-US" w:eastAsia="zh-CN" w:bidi="ar"/>
              </w:rPr>
              <w:t>个工作日（不含公示、现场检查、技术审查</w:t>
            </w:r>
            <w:r>
              <w:rPr>
                <w:rFonts w:hint="default" w:ascii="Times New Roman" w:hAnsi="Times New Roman" w:eastAsia="宋体" w:cs="Times New Roman"/>
                <w:i w:val="0"/>
                <w:iCs w:val="0"/>
                <w:color w:val="auto"/>
                <w:kern w:val="0"/>
                <w:sz w:val="20"/>
                <w:szCs w:val="20"/>
                <w:u w:val="none"/>
                <w:lang w:val="en-US" w:eastAsia="zh-CN" w:bidi="ar"/>
              </w:rPr>
              <w:t>14</w:t>
            </w:r>
            <w:r>
              <w:rPr>
                <w:rStyle w:val="8"/>
                <w:color w:val="auto"/>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1</w:t>
            </w:r>
            <w:r>
              <w:rPr>
                <w:rStyle w:val="8"/>
                <w:color w:val="auto"/>
                <w:lang w:val="en-US" w:eastAsia="zh-CN" w:bidi="ar"/>
              </w:rPr>
              <w:t>个工作日（不含公示、现场检查、技术审查</w:t>
            </w:r>
            <w:r>
              <w:rPr>
                <w:rFonts w:hint="default" w:ascii="Times New Roman" w:hAnsi="Times New Roman" w:eastAsia="宋体" w:cs="Times New Roman"/>
                <w:i w:val="0"/>
                <w:iCs w:val="0"/>
                <w:color w:val="auto"/>
                <w:kern w:val="0"/>
                <w:sz w:val="20"/>
                <w:szCs w:val="20"/>
                <w:u w:val="none"/>
                <w:lang w:val="en-US" w:eastAsia="zh-CN" w:bidi="ar"/>
              </w:rPr>
              <w:t>14</w:t>
            </w:r>
            <w:r>
              <w:rPr>
                <w:rStyle w:val="8"/>
                <w:color w:val="auto"/>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vMerge w:val="restart"/>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451</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建设项目环境影响报告表告知承诺制审批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11441900MB2C90178X344011310600202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126</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30</w:t>
            </w:r>
            <w:r>
              <w:rPr>
                <w:rFonts w:hint="eastAsia" w:ascii="宋体" w:hAnsi="宋体" w:eastAsia="宋体" w:cs="宋体"/>
                <w:i w:val="0"/>
                <w:iCs w:val="0"/>
                <w:color w:val="auto"/>
                <w:kern w:val="0"/>
                <w:sz w:val="20"/>
                <w:szCs w:val="20"/>
                <w:u w:val="none"/>
                <w:lang w:val="en-US" w:eastAsia="zh-CN" w:bidi="ar"/>
              </w:rPr>
              <w:t>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vMerge w:val="continue"/>
            <w:noWrap w:val="0"/>
            <w:vAlign w:val="center"/>
          </w:tcPr>
          <w:p>
            <w:pPr>
              <w:jc w:val="center"/>
              <w:rPr>
                <w:rFonts w:ascii="Times New Roman" w:hAnsi="Times New Roman" w:eastAsia="宋体"/>
                <w:sz w:val="16"/>
                <w:szCs w:val="16"/>
              </w:rPr>
            </w:pP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建设项目环境影响报告书审批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11441900MB2C90178X344011310600101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101</w:t>
            </w:r>
          </w:p>
        </w:tc>
        <w:tc>
          <w:tcPr>
            <w:tcW w:w="283"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eastAsia" w:ascii="宋体" w:hAnsi="宋体" w:eastAsia="宋体" w:cs="宋体"/>
                <w:i w:val="0"/>
                <w:iCs w:val="0"/>
                <w:color w:val="auto"/>
                <w:kern w:val="0"/>
                <w:sz w:val="20"/>
                <w:szCs w:val="20"/>
                <w:u w:val="none"/>
                <w:lang w:val="en-US" w:eastAsia="zh-CN" w:bidi="ar"/>
              </w:rPr>
              <w:t>60工作日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eastAsia" w:ascii="宋体" w:hAnsi="宋体" w:eastAsia="宋体" w:cs="宋体"/>
                <w:i w:val="0"/>
                <w:iCs w:val="0"/>
                <w:color w:val="auto"/>
                <w:kern w:val="0"/>
                <w:sz w:val="20"/>
                <w:szCs w:val="20"/>
                <w:u w:val="none"/>
                <w:lang w:val="en-US" w:eastAsia="zh-CN" w:bidi="ar"/>
              </w:rPr>
              <w:t>1个工作日（不含公示、现场检查、技术审查24个工作日）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eastAsia" w:ascii="宋体" w:hAnsi="宋体" w:eastAsia="宋体" w:cs="宋体"/>
                <w:i w:val="0"/>
                <w:iCs w:val="0"/>
                <w:color w:val="auto"/>
                <w:kern w:val="0"/>
                <w:sz w:val="20"/>
                <w:szCs w:val="20"/>
                <w:u w:val="none"/>
                <w:lang w:val="en-US" w:eastAsia="zh-CN" w:bidi="ar"/>
              </w:rPr>
              <w:t>1个工作日（不含公示、现场检查、技术审查24个工作日）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vMerge w:val="continue"/>
            <w:noWrap w:val="0"/>
            <w:vAlign w:val="center"/>
          </w:tcPr>
          <w:p>
            <w:pPr>
              <w:jc w:val="center"/>
              <w:rPr>
                <w:rFonts w:ascii="Times New Roman" w:hAnsi="Times New Roman" w:eastAsia="宋体"/>
                <w:sz w:val="16"/>
                <w:szCs w:val="16"/>
              </w:rPr>
            </w:pP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建设项目环境影响报告书告知承诺制审批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11441900MB2C90178X344011310600102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default" w:ascii="Times New Roman" w:hAnsi="Times New Roman" w:eastAsia="宋体" w:cs="Times New Roman"/>
                <w:i w:val="0"/>
                <w:iCs w:val="0"/>
                <w:color w:val="auto"/>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eastAsia" w:ascii="宋体" w:hAnsi="宋体" w:eastAsia="宋体" w:cs="宋体"/>
                <w:i w:val="0"/>
                <w:iCs w:val="0"/>
                <w:color w:val="auto"/>
                <w:kern w:val="0"/>
                <w:sz w:val="20"/>
                <w:szCs w:val="20"/>
                <w:u w:val="none"/>
                <w:lang w:val="en-US" w:eastAsia="zh-CN" w:bidi="ar"/>
              </w:rPr>
              <w:t>60工作日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eastAsia" w:ascii="宋体" w:hAnsi="宋体" w:eastAsia="宋体" w:cs="宋体"/>
                <w:i w:val="0"/>
                <w:iCs w:val="0"/>
                <w:color w:val="auto"/>
                <w:kern w:val="0"/>
                <w:sz w:val="20"/>
                <w:szCs w:val="20"/>
                <w:u w:val="none"/>
                <w:lang w:val="en-US" w:eastAsia="zh-CN" w:bidi="ar"/>
              </w:rPr>
              <w:t>1个工作日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color w:val="auto"/>
                <w:sz w:val="16"/>
                <w:szCs w:val="16"/>
              </w:rPr>
            </w:pPr>
            <w:r>
              <w:rPr>
                <w:rFonts w:hint="eastAsia" w:ascii="宋体" w:hAnsi="宋体" w:eastAsia="宋体" w:cs="宋体"/>
                <w:i w:val="0"/>
                <w:iCs w:val="0"/>
                <w:color w:val="auto"/>
                <w:kern w:val="0"/>
                <w:sz w:val="20"/>
                <w:szCs w:val="20"/>
                <w:u w:val="none"/>
                <w:lang w:val="en-US" w:eastAsia="zh-CN" w:bidi="ar"/>
              </w:rPr>
              <w:t>1个工作日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vMerge w:val="continue"/>
            <w:noWrap w:val="0"/>
            <w:vAlign w:val="center"/>
          </w:tcPr>
          <w:p>
            <w:pPr>
              <w:jc w:val="center"/>
              <w:rPr>
                <w:rFonts w:ascii="Times New Roman" w:hAnsi="Times New Roman" w:eastAsia="宋体"/>
                <w:sz w:val="16"/>
                <w:szCs w:val="16"/>
              </w:rPr>
            </w:pP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排污许可证核发（变更）</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11441900MB2C90178X3440113011003</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241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212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29</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212</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117</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95</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20个工作日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1个工作日（不含技术审查、打印证书7个工作日）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1个工作日（不含技术审查、打印证书7个工作日）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排污许可证核发（延续）</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11441900MB2C90178X3440113011002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273</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244</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29</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244</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136</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108</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20个工作日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1个工作日（不含技术审查、打印证书7个工作日）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1个工作日（不含技术审查、打印证书7个工作日）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排污许可证核发（新申请</w:t>
            </w:r>
            <w:r>
              <w:rPr>
                <w:rStyle w:val="6"/>
                <w:rFonts w:eastAsia="宋体"/>
                <w:lang w:val="en-US" w:eastAsia="zh-CN" w:bidi="ar"/>
              </w:rPr>
              <w:t>/</w:t>
            </w:r>
            <w:r>
              <w:rPr>
                <w:rStyle w:val="5"/>
                <w:lang w:val="en-US" w:eastAsia="zh-CN" w:bidi="ar"/>
              </w:rPr>
              <w:t>重新申请）</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11441900MB2C90178X3440113011005</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1211</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1156</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55</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1156</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788</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368</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20个工作日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1个工作日（不含技术审查、打印证书7个工作日）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1个工作日（不含技术审查、打印证书7个工作日）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城市噪声敏感建筑集中区域内夜间连续施工作业审批</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11441900MB2C90178X3440113012000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w:t>
            </w:r>
            <w:r>
              <w:rPr>
                <w:rStyle w:val="5"/>
                <w:lang w:val="en-US" w:eastAsia="zh-CN" w:bidi="ar"/>
              </w:rPr>
              <w:t>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个工作日（不含现场检查</w:t>
            </w:r>
            <w:r>
              <w:rPr>
                <w:rStyle w:val="6"/>
                <w:rFonts w:eastAsia="宋体"/>
                <w:lang w:val="en-US" w:eastAsia="zh-CN" w:bidi="ar"/>
              </w:rPr>
              <w:t>2</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个工作日（不含现场检查</w:t>
            </w:r>
            <w:r>
              <w:rPr>
                <w:rStyle w:val="6"/>
                <w:rFonts w:eastAsia="宋体"/>
                <w:lang w:val="en-US" w:eastAsia="zh-CN" w:bidi="ar"/>
              </w:rPr>
              <w:t>2</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建筑施工使用蒸汽桩机、锤击桩机行政许可</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11441900MB2C90178X3440113105000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个工作日（不含现场检查</w:t>
            </w:r>
            <w:r>
              <w:rPr>
                <w:rStyle w:val="6"/>
                <w:rFonts w:eastAsia="宋体"/>
                <w:lang w:val="en-US" w:eastAsia="zh-CN" w:bidi="ar"/>
              </w:rPr>
              <w:t>2</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个工作日（不含现场检查</w:t>
            </w:r>
            <w:r>
              <w:rPr>
                <w:rStyle w:val="6"/>
                <w:rFonts w:eastAsia="宋体"/>
                <w:lang w:val="en-US" w:eastAsia="zh-CN" w:bidi="ar"/>
              </w:rPr>
              <w:t>2</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入河排污口设置审核</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11441900MB2C90178X3440113027000</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否</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4</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4</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迁移、移动城镇排水与污水处理设施方案审核</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11441900MB2C90178X3440114033002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否</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20</w:t>
            </w:r>
            <w:r>
              <w:rPr>
                <w:rStyle w:val="5"/>
                <w:lang w:val="en-US" w:eastAsia="zh-CN" w:bidi="ar"/>
              </w:rPr>
              <w:t>个工作日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4</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4</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污水排入排水管网许可证核发（变更或延续）</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11441900MB2C90178X3440114018002</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Times New Roman" w:hAnsi="Times New Roman" w:eastAsia="宋体" w:cs="Times New Roman"/>
                <w:i w:val="0"/>
                <w:iCs w:val="0"/>
                <w:color w:val="000000"/>
                <w:kern w:val="0"/>
                <w:sz w:val="20"/>
                <w:szCs w:val="20"/>
                <w:u w:val="none"/>
                <w:lang w:val="en-US" w:eastAsia="zh-CN" w:bidi="ar"/>
              </w:rPr>
              <w:t>15</w:t>
            </w:r>
            <w:r>
              <w:rPr>
                <w:rStyle w:val="5"/>
                <w:lang w:val="en-US" w:eastAsia="zh-CN" w:bidi="ar"/>
              </w:rPr>
              <w:t>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334" w:type="dxa"/>
            <w:noWrap w:val="0"/>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42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污水排入排水管网许可证核发（新办）</w:t>
            </w:r>
          </w:p>
        </w:tc>
        <w:tc>
          <w:tcPr>
            <w:tcW w:w="1168" w:type="dxa"/>
            <w:noWrap w:val="0"/>
            <w:vAlign w:val="center"/>
          </w:tcPr>
          <w:p>
            <w:pPr>
              <w:keepNext w:val="0"/>
              <w:keepLines w:val="0"/>
              <w:widowControl/>
              <w:suppressLineNumbers w:val="0"/>
              <w:jc w:val="left"/>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11441900MB2C90178X3440114018001</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63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5878</w:t>
            </w:r>
          </w:p>
        </w:tc>
        <w:tc>
          <w:tcPr>
            <w:tcW w:w="56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5878</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5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5878</w:t>
            </w:r>
          </w:p>
        </w:tc>
        <w:tc>
          <w:tcPr>
            <w:tcW w:w="447"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5562</w:t>
            </w:r>
          </w:p>
        </w:tc>
        <w:tc>
          <w:tcPr>
            <w:tcW w:w="481"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28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Times New Roman" w:hAnsi="Times New Roman" w:eastAsia="宋体" w:cs="Times New Roman"/>
                <w:i w:val="0"/>
                <w:iCs w:val="0"/>
                <w:color w:val="000000"/>
                <w:kern w:val="0"/>
                <w:sz w:val="20"/>
                <w:szCs w:val="20"/>
                <w:u w:val="none"/>
                <w:lang w:val="en-US" w:eastAsia="zh-CN" w:bidi="ar"/>
              </w:rPr>
              <w:t>15</w:t>
            </w:r>
            <w:r>
              <w:rPr>
                <w:rStyle w:val="5"/>
                <w:lang w:val="en-US" w:eastAsia="zh-CN" w:bidi="ar"/>
              </w:rPr>
              <w:t>日</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w:t>
            </w:r>
            <w:r>
              <w:rPr>
                <w:rStyle w:val="5"/>
                <w:lang w:val="en-US" w:eastAsia="zh-CN" w:bidi="ar"/>
              </w:rPr>
              <w:t>个工作日（不含技术审查、现场检查</w:t>
            </w:r>
            <w:r>
              <w:rPr>
                <w:rStyle w:val="6"/>
                <w:rFonts w:eastAsia="宋体"/>
                <w:lang w:val="en-US" w:eastAsia="zh-CN" w:bidi="ar"/>
              </w:rPr>
              <w:t>9</w:t>
            </w:r>
            <w:r>
              <w:rPr>
                <w:rStyle w:val="5"/>
                <w:lang w:val="en-US" w:eastAsia="zh-CN" w:bidi="ar"/>
              </w:rPr>
              <w:t>个工作日）</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48" w:type="dxa"/>
            <w:noWrap w:val="0"/>
            <w:vAlign w:val="center"/>
          </w:tcPr>
          <w:p>
            <w:pPr>
              <w:keepNext w:val="0"/>
              <w:keepLines w:val="0"/>
              <w:widowControl/>
              <w:suppressLineNumbers w:val="0"/>
              <w:jc w:val="center"/>
              <w:textAlignment w:val="center"/>
              <w:rPr>
                <w:rFonts w:hint="eastAsia"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20"/>
                <w:szCs w:val="20"/>
                <w:u w:val="none"/>
                <w:lang w:val="en-US" w:eastAsia="zh-CN" w:bidi="ar"/>
              </w:rPr>
              <w:t>是</w:t>
            </w:r>
          </w:p>
        </w:tc>
        <w:tc>
          <w:tcPr>
            <w:tcW w:w="534"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7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06"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9"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500" w:type="dxa"/>
            <w:noWrap w:val="0"/>
            <w:vAlign w:val="center"/>
          </w:tcPr>
          <w:p>
            <w:pPr>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1762" w:type="dxa"/>
            <w:gridSpan w:val="2"/>
            <w:noWrap w:val="0"/>
            <w:vAlign w:val="center"/>
          </w:tcPr>
          <w:p>
            <w:pPr>
              <w:spacing w:line="240" w:lineRule="exact"/>
              <w:jc w:val="center"/>
              <w:rPr>
                <w:rFonts w:ascii="Times New Roman" w:hAnsi="Times New Roman" w:eastAsia="宋体"/>
                <w:sz w:val="16"/>
                <w:szCs w:val="16"/>
              </w:rPr>
            </w:pPr>
            <w:r>
              <w:rPr>
                <w:rFonts w:ascii="Times New Roman" w:hAnsi="Times New Roman" w:eastAsia="宋体"/>
                <w:sz w:val="18"/>
                <w:szCs w:val="18"/>
              </w:rPr>
              <w:t>合计</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90"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43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632"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22445</w:t>
            </w:r>
          </w:p>
        </w:tc>
        <w:tc>
          <w:tcPr>
            <w:tcW w:w="562"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21516</w:t>
            </w:r>
          </w:p>
        </w:tc>
        <w:tc>
          <w:tcPr>
            <w:tcW w:w="448"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929</w:t>
            </w:r>
          </w:p>
        </w:tc>
        <w:tc>
          <w:tcPr>
            <w:tcW w:w="554"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21516</w:t>
            </w:r>
          </w:p>
        </w:tc>
        <w:tc>
          <w:tcPr>
            <w:tcW w:w="447"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9504</w:t>
            </w:r>
          </w:p>
        </w:tc>
        <w:tc>
          <w:tcPr>
            <w:tcW w:w="481"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12010</w:t>
            </w:r>
          </w:p>
        </w:tc>
        <w:tc>
          <w:tcPr>
            <w:tcW w:w="283" w:type="dxa"/>
            <w:noWrap w:val="0"/>
            <w:vAlign w:val="center"/>
          </w:tcPr>
          <w:p>
            <w:pPr>
              <w:spacing w:line="240" w:lineRule="exact"/>
              <w:jc w:val="center"/>
              <w:rPr>
                <w:rFonts w:hint="eastAsia" w:ascii="Times New Roman" w:hAnsi="Times New Roman" w:eastAsia="宋体"/>
                <w:sz w:val="16"/>
                <w:szCs w:val="16"/>
                <w:lang w:val="en-US" w:eastAsia="zh-CN"/>
              </w:rPr>
            </w:pPr>
            <w:r>
              <w:rPr>
                <w:rFonts w:hint="eastAsia" w:ascii="Times New Roman" w:hAnsi="Times New Roman" w:eastAsia="宋体"/>
                <w:sz w:val="16"/>
                <w:szCs w:val="16"/>
                <w:lang w:val="en-US" w:eastAsia="zh-CN"/>
              </w:rPr>
              <w:t>0</w:t>
            </w:r>
          </w:p>
        </w:tc>
        <w:tc>
          <w:tcPr>
            <w:tcW w:w="39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1125"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116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48"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92"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3" w:type="dxa"/>
            <w:noWrap w:val="0"/>
            <w:vAlign w:val="center"/>
          </w:tcPr>
          <w:p>
            <w:pPr>
              <w:keepNext w:val="0"/>
              <w:keepLines w:val="0"/>
              <w:widowControl/>
              <w:suppressLineNumbers w:val="0"/>
              <w:jc w:val="center"/>
              <w:textAlignment w:val="center"/>
              <w:rPr>
                <w:rFonts w:ascii="Times New Roman" w:hAnsi="Times New Roman" w:eastAsia="宋体"/>
                <w:sz w:val="16"/>
                <w:szCs w:val="16"/>
              </w:rPr>
            </w:pPr>
            <w:r>
              <w:rPr>
                <w:rFonts w:hint="eastAsia" w:ascii="宋体" w:hAnsi="宋体" w:eastAsia="宋体" w:cs="宋体"/>
                <w:i w:val="0"/>
                <w:iCs w:val="0"/>
                <w:color w:val="000000"/>
                <w:kern w:val="0"/>
                <w:sz w:val="18"/>
                <w:szCs w:val="18"/>
                <w:u w:val="none"/>
                <w:lang w:val="en-US" w:eastAsia="zh-CN" w:bidi="ar"/>
              </w:rPr>
              <w:t>\</w:t>
            </w:r>
          </w:p>
        </w:tc>
        <w:tc>
          <w:tcPr>
            <w:tcW w:w="534"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100%</w:t>
            </w:r>
          </w:p>
        </w:tc>
        <w:tc>
          <w:tcPr>
            <w:tcW w:w="1572" w:type="dxa"/>
            <w:gridSpan w:val="3"/>
            <w:noWrap w:val="0"/>
            <w:vAlign w:val="center"/>
          </w:tcPr>
          <w:p>
            <w:pPr>
              <w:spacing w:line="240" w:lineRule="exact"/>
              <w:jc w:val="center"/>
              <w:rPr>
                <w:rFonts w:ascii="Times New Roman" w:hAnsi="Times New Roman" w:eastAsia="宋体"/>
                <w:sz w:val="16"/>
                <w:szCs w:val="16"/>
              </w:rPr>
            </w:pPr>
            <w:r>
              <w:rPr>
                <w:rFonts w:hint="eastAsia" w:ascii="Times New Roman" w:hAnsi="Times New Roman" w:eastAsia="宋体"/>
                <w:sz w:val="16"/>
                <w:szCs w:val="16"/>
              </w:rPr>
              <w:t>因统计类型不同，无法分开统计涉及行政许可事项的举报投诉件数。</w:t>
            </w:r>
          </w:p>
        </w:tc>
        <w:tc>
          <w:tcPr>
            <w:tcW w:w="539" w:type="dxa"/>
            <w:noWrap w:val="0"/>
            <w:vAlign w:val="center"/>
          </w:tcPr>
          <w:p>
            <w:pPr>
              <w:spacing w:line="240" w:lineRule="exact"/>
              <w:jc w:val="center"/>
              <w:rPr>
                <w:rFonts w:hint="default" w:ascii="Times New Roman" w:hAnsi="Times New Roman" w:eastAsia="宋体"/>
                <w:sz w:val="16"/>
                <w:szCs w:val="16"/>
                <w:lang w:val="en-US" w:eastAsia="zh-CN"/>
              </w:rPr>
            </w:pPr>
            <w:r>
              <w:rPr>
                <w:rFonts w:hint="eastAsia" w:ascii="Times New Roman" w:hAnsi="Times New Roman" w:eastAsia="宋体"/>
                <w:sz w:val="16"/>
                <w:szCs w:val="16"/>
                <w:lang w:val="en-US" w:eastAsia="zh-CN"/>
              </w:rPr>
              <w:t>486</w:t>
            </w:r>
          </w:p>
        </w:tc>
        <w:tc>
          <w:tcPr>
            <w:tcW w:w="500" w:type="dxa"/>
            <w:noWrap w:val="0"/>
            <w:vAlign w:val="center"/>
          </w:tcPr>
          <w:p>
            <w:pPr>
              <w:spacing w:line="240" w:lineRule="exact"/>
              <w:jc w:val="center"/>
              <w:rPr>
                <w:rFonts w:ascii="Times New Roman" w:hAnsi="Times New Roman" w:eastAsia="宋体"/>
                <w:sz w:val="16"/>
                <w:szCs w:val="16"/>
              </w:rPr>
            </w:pPr>
            <w:r>
              <w:rPr>
                <w:rFonts w:hint="eastAsia" w:ascii="Times New Roman" w:hAnsi="Times New Roman" w:eastAsia="宋体"/>
                <w:sz w:val="16"/>
                <w:szCs w:val="16"/>
              </w:rPr>
              <w:t>2件企业主动退件。</w:t>
            </w:r>
          </w:p>
        </w:tc>
      </w:tr>
    </w:tbl>
    <w:p>
      <w:pPr>
        <w:pStyle w:val="4"/>
        <w:spacing w:line="528" w:lineRule="atLeast"/>
        <w:ind w:left="24"/>
        <w:textAlignment w:val="baseline"/>
        <w:rPr>
          <w:rFonts w:hint="eastAsia" w:ascii="黑体" w:hAnsi="黑体" w:eastAsia="黑体"/>
          <w:b/>
          <w:bCs/>
          <w:sz w:val="32"/>
          <w:szCs w:val="32"/>
          <w:u w:val="single"/>
          <w:lang w:val="zh"/>
        </w:rPr>
      </w:pPr>
    </w:p>
    <w:p>
      <w:pPr>
        <w:pStyle w:val="4"/>
        <w:spacing w:line="216" w:lineRule="atLeast"/>
        <w:ind w:left="4"/>
        <w:textAlignment w:val="baseline"/>
        <w:rPr>
          <w:sz w:val="18"/>
          <w:szCs w:val="18"/>
          <w:lang w:val="zh"/>
        </w:rPr>
      </w:pPr>
      <w:r>
        <w:rPr>
          <w:sz w:val="18"/>
          <w:szCs w:val="18"/>
          <w:lang w:val="zh"/>
        </w:rPr>
        <w:t>注： 1. “是否XXXX”的指标项请依据实际情况填写“是”或“否”。</w:t>
      </w:r>
    </w:p>
    <w:p>
      <w:pPr>
        <w:pStyle w:val="4"/>
        <w:spacing w:line="254" w:lineRule="atLeast"/>
        <w:ind w:left="9" w:firstLine="422"/>
        <w:textAlignment w:val="baseline"/>
        <w:rPr>
          <w:sz w:val="18"/>
          <w:szCs w:val="18"/>
          <w:lang w:val="zh"/>
        </w:rPr>
      </w:pPr>
      <w:r>
        <w:rPr>
          <w:sz w:val="18"/>
          <w:szCs w:val="18"/>
          <w:lang w:val="zh"/>
        </w:rPr>
        <w:t>2. 全年业务量指市镇两级的业务量。申请量分为受理量和不受理量两个部分，不受理量不计入办结量。办结量＝审批同意量＋审批不同意量＋转报办结量；转报办结的事项是指本单位具有初审权，但最终审批权在上级部门的办结事项；初审后不符合转报要求的量计入不受理量，不计入审批不同意量。转报后的办理结果不需计入审批同意量或审批不同意量。</w:t>
      </w:r>
    </w:p>
    <w:p>
      <w:pPr>
        <w:pStyle w:val="4"/>
        <w:spacing w:line="240" w:lineRule="atLeast"/>
        <w:ind w:firstLine="390" w:firstLineChars="200"/>
        <w:textAlignment w:val="baseline"/>
        <w:rPr>
          <w:sz w:val="18"/>
          <w:szCs w:val="18"/>
          <w:lang w:val="zh"/>
        </w:rPr>
      </w:pPr>
      <w:r>
        <w:rPr>
          <w:sz w:val="18"/>
          <w:szCs w:val="18"/>
          <w:lang w:val="zh"/>
        </w:rPr>
        <w:t>3.法定办结期限等时间指标应注明自然日或工作日，如5个工作日。</w:t>
      </w:r>
    </w:p>
    <w:p>
      <w:pPr>
        <w:pStyle w:val="4"/>
        <w:spacing w:before="13" w:line="244" w:lineRule="atLeast"/>
        <w:ind w:right="105" w:firstLine="390" w:firstLineChars="200"/>
        <w:textAlignment w:val="baseline"/>
        <w:rPr>
          <w:sz w:val="18"/>
          <w:szCs w:val="18"/>
          <w:lang w:val="zh"/>
        </w:rPr>
      </w:pPr>
      <w:r>
        <w:rPr>
          <w:rFonts w:hint="eastAsia"/>
          <w:sz w:val="18"/>
          <w:szCs w:val="18"/>
        </w:rPr>
        <w:t>4</w:t>
      </w:r>
      <w:r>
        <w:rPr>
          <w:sz w:val="18"/>
          <w:szCs w:val="18"/>
          <w:lang w:val="zh"/>
        </w:rPr>
        <w:t>.监管覆盖率指对从事行政许可事项活动进行监督检查的行政许可对象数量占全部行政许可对象的比例（用“%”表示），监管覆盖率中的全部行政许可对象是指历年来取得行政许可的对象总数。</w:t>
      </w:r>
    </w:p>
    <w:p>
      <w:pPr>
        <w:pStyle w:val="4"/>
        <w:spacing w:line="264" w:lineRule="atLeast"/>
        <w:ind w:firstLine="390" w:firstLineChars="200"/>
        <w:textAlignment w:val="baseline"/>
        <w:rPr>
          <w:sz w:val="18"/>
          <w:szCs w:val="18"/>
          <w:lang w:val="zh"/>
        </w:rPr>
      </w:pPr>
      <w:r>
        <w:rPr>
          <w:rFonts w:hint="eastAsia"/>
          <w:sz w:val="18"/>
          <w:szCs w:val="18"/>
        </w:rPr>
        <w:t>5</w:t>
      </w:r>
      <w:r>
        <w:rPr>
          <w:sz w:val="18"/>
          <w:szCs w:val="18"/>
          <w:lang w:val="zh"/>
        </w:rPr>
        <w:t>.调查处理并办结量是指举报投诉的办结量，即调查处理并办结量应少于或等于举报投诉件数。举报投诉指对被许可人从事许可行为的投诉。查处违法违规案件数指对被许可人从事行政许可事项活动中违法违规案件的查处数量。</w:t>
      </w:r>
    </w:p>
    <w:p>
      <w:pPr>
        <w:pStyle w:val="4"/>
        <w:spacing w:line="240" w:lineRule="atLeast"/>
        <w:ind w:firstLine="390" w:firstLineChars="200"/>
        <w:textAlignment w:val="baseline"/>
        <w:rPr>
          <w:sz w:val="18"/>
          <w:szCs w:val="18"/>
          <w:lang w:val="zh"/>
        </w:rPr>
      </w:pPr>
      <w:r>
        <w:rPr>
          <w:rFonts w:hint="eastAsia"/>
          <w:sz w:val="18"/>
          <w:szCs w:val="18"/>
        </w:rPr>
        <w:t>6</w:t>
      </w:r>
      <w:r>
        <w:rPr>
          <w:sz w:val="18"/>
          <w:szCs w:val="18"/>
          <w:lang w:val="zh"/>
        </w:rPr>
        <w:t>.如不存在相关情况，请在对应的空格中填写“\” (反斜杠）。</w:t>
      </w:r>
    </w:p>
    <w:p>
      <w:pPr>
        <w:pStyle w:val="4"/>
        <w:spacing w:line="240" w:lineRule="atLeast"/>
        <w:ind w:firstLine="390" w:firstLineChars="200"/>
        <w:textAlignment w:val="baseline"/>
        <w:rPr>
          <w:sz w:val="18"/>
          <w:szCs w:val="18"/>
          <w:lang w:val="zh"/>
        </w:rPr>
      </w:pPr>
      <w:r>
        <w:rPr>
          <w:rFonts w:hint="eastAsia"/>
          <w:sz w:val="18"/>
          <w:szCs w:val="18"/>
        </w:rPr>
        <w:t>7</w:t>
      </w:r>
      <w:r>
        <w:rPr>
          <w:sz w:val="18"/>
          <w:szCs w:val="18"/>
          <w:lang w:val="zh"/>
        </w:rPr>
        <w:t>.数据统计时间为20</w:t>
      </w:r>
      <w:r>
        <w:rPr>
          <w:rFonts w:hint="eastAsia"/>
          <w:sz w:val="18"/>
          <w:szCs w:val="18"/>
          <w:lang w:val="en-US" w:eastAsia="zh-CN"/>
        </w:rPr>
        <w:t>2</w:t>
      </w:r>
      <w:r>
        <w:rPr>
          <w:rFonts w:hint="default"/>
          <w:sz w:val="18"/>
          <w:szCs w:val="18"/>
          <w:lang w:val="en-US" w:eastAsia="zh-CN"/>
        </w:rPr>
        <w:t>2</w:t>
      </w:r>
      <w:r>
        <w:rPr>
          <w:sz w:val="18"/>
          <w:szCs w:val="18"/>
          <w:lang w:val="zh"/>
        </w:rPr>
        <w:t>年</w:t>
      </w:r>
      <w:r>
        <w:rPr>
          <w:rFonts w:hint="eastAsia"/>
          <w:sz w:val="18"/>
          <w:szCs w:val="18"/>
        </w:rPr>
        <w:t>1</w:t>
      </w:r>
      <w:r>
        <w:rPr>
          <w:sz w:val="18"/>
          <w:szCs w:val="18"/>
          <w:lang w:val="zh"/>
        </w:rPr>
        <w:t>月</w:t>
      </w:r>
      <w:r>
        <w:rPr>
          <w:sz w:val="18"/>
          <w:szCs w:val="18"/>
        </w:rPr>
        <w:t>1日</w:t>
      </w:r>
      <w:r>
        <w:rPr>
          <w:sz w:val="18"/>
          <w:szCs w:val="18"/>
          <w:lang w:val="zh"/>
        </w:rPr>
        <w:t>至</w:t>
      </w:r>
      <w:r>
        <w:rPr>
          <w:rFonts w:hint="eastAsia"/>
          <w:sz w:val="18"/>
          <w:szCs w:val="18"/>
        </w:rPr>
        <w:t>20</w:t>
      </w:r>
      <w:r>
        <w:rPr>
          <w:rFonts w:hint="eastAsia"/>
          <w:sz w:val="18"/>
          <w:szCs w:val="18"/>
          <w:lang w:val="en-US" w:eastAsia="zh-CN"/>
        </w:rPr>
        <w:t>2</w:t>
      </w:r>
      <w:r>
        <w:rPr>
          <w:rFonts w:hint="default"/>
          <w:sz w:val="18"/>
          <w:szCs w:val="18"/>
          <w:lang w:val="en-US" w:eastAsia="zh-CN"/>
        </w:rPr>
        <w:t>2</w:t>
      </w:r>
      <w:r>
        <w:rPr>
          <w:sz w:val="18"/>
          <w:szCs w:val="18"/>
          <w:lang w:val="zh"/>
        </w:rPr>
        <w:t>年</w:t>
      </w:r>
      <w:r>
        <w:rPr>
          <w:rFonts w:hint="eastAsia"/>
          <w:sz w:val="18"/>
          <w:szCs w:val="18"/>
        </w:rPr>
        <w:t>12</w:t>
      </w:r>
      <w:r>
        <w:rPr>
          <w:sz w:val="18"/>
          <w:szCs w:val="18"/>
          <w:lang w:val="zh"/>
        </w:rPr>
        <w:t>月</w:t>
      </w:r>
      <w:r>
        <w:rPr>
          <w:rFonts w:hint="eastAsia"/>
          <w:sz w:val="18"/>
          <w:szCs w:val="18"/>
        </w:rPr>
        <w:t>31</w:t>
      </w:r>
      <w:r>
        <w:rPr>
          <w:sz w:val="18"/>
          <w:szCs w:val="18"/>
        </w:rPr>
        <w:t>日</w:t>
      </w:r>
      <w:r>
        <w:rPr>
          <w:sz w:val="18"/>
          <w:szCs w:val="18"/>
          <w:lang w:val="zh"/>
        </w:rPr>
        <w:t>。</w:t>
      </w:r>
    </w:p>
    <w:p>
      <w:pPr>
        <w:pStyle w:val="4"/>
        <w:spacing w:line="240" w:lineRule="atLeast"/>
        <w:ind w:firstLine="390" w:firstLineChars="200"/>
        <w:textAlignment w:val="baseline"/>
        <w:rPr>
          <w:rFonts w:ascii="Times New Roman" w:hAnsi="Times New Roman"/>
        </w:rPr>
        <w:sectPr>
          <w:pgSz w:w="16838" w:h="11906" w:orient="landscape"/>
          <w:pgMar w:top="1587" w:right="1134" w:bottom="1587" w:left="1134" w:header="851" w:footer="1474" w:gutter="0"/>
          <w:cols w:space="0" w:num="1"/>
          <w:rtlGutter w:val="0"/>
          <w:docGrid w:type="linesAndChars" w:linePitch="579" w:charSpace="3229"/>
        </w:sectPr>
      </w:pPr>
      <w:r>
        <w:rPr>
          <w:rFonts w:hint="eastAsia"/>
          <w:sz w:val="18"/>
          <w:szCs w:val="18"/>
        </w:rPr>
        <w:t>8</w:t>
      </w:r>
      <w:r>
        <w:rPr>
          <w:sz w:val="18"/>
          <w:szCs w:val="18"/>
          <w:lang w:val="zh"/>
        </w:rPr>
        <w:t>.若行政许可事项在20</w:t>
      </w:r>
      <w:r>
        <w:rPr>
          <w:rFonts w:hint="default"/>
          <w:sz w:val="18"/>
          <w:szCs w:val="18"/>
          <w:lang w:val="en-US"/>
        </w:rPr>
        <w:t>2</w:t>
      </w:r>
      <w:r>
        <w:rPr>
          <w:rFonts w:hint="eastAsia"/>
          <w:sz w:val="18"/>
          <w:szCs w:val="18"/>
          <w:lang w:val="en-US" w:eastAsia="zh-CN"/>
        </w:rPr>
        <w:t>2</w:t>
      </w:r>
      <w:r>
        <w:rPr>
          <w:sz w:val="18"/>
          <w:szCs w:val="18"/>
          <w:lang w:val="zh"/>
        </w:rPr>
        <w:t>年有调整，如取消、新增、合并或变更事项名称等情况请在备注中</w:t>
      </w:r>
      <w:bookmarkStart w:id="0" w:name="_GoBack"/>
      <w:bookmarkEnd w:id="0"/>
      <w:r>
        <w:rPr>
          <w:sz w:val="18"/>
          <w:szCs w:val="18"/>
          <w:lang w:val="zh"/>
        </w:rPr>
        <w:t>说明。详见表格备注栏范例。</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00D02"/>
    <w:rsid w:val="000101B5"/>
    <w:rsid w:val="021A11D5"/>
    <w:rsid w:val="11730DA1"/>
    <w:rsid w:val="12600D02"/>
    <w:rsid w:val="14A9254F"/>
    <w:rsid w:val="1C2E5DE7"/>
    <w:rsid w:val="226F0F09"/>
    <w:rsid w:val="25701A74"/>
    <w:rsid w:val="28C07BA8"/>
    <w:rsid w:val="299B7C25"/>
    <w:rsid w:val="29F930CC"/>
    <w:rsid w:val="2B1E7A55"/>
    <w:rsid w:val="2B7B2709"/>
    <w:rsid w:val="2BF46917"/>
    <w:rsid w:val="2E624846"/>
    <w:rsid w:val="302C5F36"/>
    <w:rsid w:val="31B37514"/>
    <w:rsid w:val="33D83F4B"/>
    <w:rsid w:val="34E00354"/>
    <w:rsid w:val="3AF22077"/>
    <w:rsid w:val="40EB1BB2"/>
    <w:rsid w:val="43670E85"/>
    <w:rsid w:val="43F1624A"/>
    <w:rsid w:val="45A906C0"/>
    <w:rsid w:val="4D814348"/>
    <w:rsid w:val="4EC73C6F"/>
    <w:rsid w:val="51D136FD"/>
    <w:rsid w:val="55AC6541"/>
    <w:rsid w:val="58861FE6"/>
    <w:rsid w:val="58CF37DB"/>
    <w:rsid w:val="68E15663"/>
    <w:rsid w:val="6A941D60"/>
    <w:rsid w:val="6BC81F2F"/>
    <w:rsid w:val="6BDD2144"/>
    <w:rsid w:val="71231020"/>
    <w:rsid w:val="71D06EC6"/>
    <w:rsid w:val="7A000121"/>
    <w:rsid w:val="7A6203F8"/>
    <w:rsid w:val="7F3B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Styl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customStyle="1" w:styleId="5">
    <w:name w:val="font41"/>
    <w:basedOn w:val="3"/>
    <w:qFormat/>
    <w:uiPriority w:val="0"/>
    <w:rPr>
      <w:rFonts w:hint="eastAsia" w:ascii="宋体" w:hAnsi="宋体" w:eastAsia="宋体" w:cs="宋体"/>
      <w:color w:val="000000"/>
      <w:sz w:val="20"/>
      <w:szCs w:val="20"/>
      <w:u w:val="none"/>
    </w:rPr>
  </w:style>
  <w:style w:type="character" w:customStyle="1" w:styleId="6">
    <w:name w:val="font51"/>
    <w:basedOn w:val="3"/>
    <w:qFormat/>
    <w:uiPriority w:val="0"/>
    <w:rPr>
      <w:rFonts w:hint="default" w:ascii="Times New Roman" w:hAnsi="Times New Roman" w:cs="Times New Roman"/>
      <w:color w:val="000000"/>
      <w:sz w:val="20"/>
      <w:szCs w:val="20"/>
      <w:u w:val="none"/>
    </w:rPr>
  </w:style>
  <w:style w:type="character" w:customStyle="1" w:styleId="7">
    <w:name w:val="font31"/>
    <w:basedOn w:val="3"/>
    <w:uiPriority w:val="0"/>
    <w:rPr>
      <w:rFonts w:hint="default" w:ascii="Times New Roman" w:hAnsi="Times New Roman" w:cs="Times New Roman"/>
      <w:color w:val="000000"/>
      <w:sz w:val="20"/>
      <w:szCs w:val="20"/>
      <w:u w:val="none"/>
    </w:rPr>
  </w:style>
  <w:style w:type="character" w:customStyle="1" w:styleId="8">
    <w:name w:val="font01"/>
    <w:basedOn w:val="3"/>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2023-03-13T02:49:00Z</dcterms:created>
  <dc:creator>袁衬婉</dc:creator>
  <cp:lastModifiedBy>袁衬婉</cp:lastModifiedBy>
  <cp:lastPrinted>2023-03-21T08:13:00Z</cp:lastPrinted>
  <dcterms:modified xsi:type="dcterms:W3CDTF">2023-03-23T02:49:16Z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